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2F" w:rsidRPr="00532830" w:rsidRDefault="00351199">
      <w:pPr>
        <w:rPr>
          <w:rFonts w:ascii="標楷體" w:eastAsia="標楷體" w:hAnsi="標楷體" w:cs="新細明體"/>
          <w:b/>
          <w:bCs/>
          <w:color w:val="000000"/>
          <w:kern w:val="0"/>
          <w:sz w:val="32"/>
          <w:szCs w:val="32"/>
        </w:rPr>
      </w:pPr>
      <w:r w:rsidRPr="00532830">
        <w:rPr>
          <w:rFonts w:ascii="標楷體" w:eastAsia="標楷體" w:hAnsi="標楷體" w:cs="新細明體" w:hint="eastAsia"/>
          <w:b/>
          <w:bCs/>
          <w:color w:val="000000"/>
          <w:kern w:val="0"/>
          <w:sz w:val="32"/>
          <w:szCs w:val="32"/>
        </w:rPr>
        <w:t>201</w:t>
      </w:r>
      <w:r w:rsidR="00432439">
        <w:rPr>
          <w:rFonts w:ascii="標楷體" w:eastAsia="標楷體" w:hAnsi="標楷體" w:cs="新細明體"/>
          <w:b/>
          <w:bCs/>
          <w:color w:val="000000"/>
          <w:kern w:val="0"/>
          <w:sz w:val="32"/>
          <w:szCs w:val="32"/>
        </w:rPr>
        <w:t>6</w:t>
      </w:r>
      <w:r w:rsidRPr="00532830">
        <w:rPr>
          <w:rFonts w:ascii="標楷體" w:eastAsia="標楷體" w:hAnsi="標楷體" w:cs="新細明體" w:hint="eastAsia"/>
          <w:b/>
          <w:bCs/>
          <w:color w:val="000000"/>
          <w:kern w:val="0"/>
          <w:sz w:val="32"/>
          <w:szCs w:val="32"/>
        </w:rPr>
        <w:t>年浙江理工大學暑期研習活動行程表初稿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2693"/>
        <w:gridCol w:w="1843"/>
      </w:tblGrid>
      <w:tr w:rsidR="00A4309F" w:rsidRPr="000F37D2" w:rsidTr="000F37D2">
        <w:trPr>
          <w:trHeight w:val="553"/>
        </w:trPr>
        <w:tc>
          <w:tcPr>
            <w:tcW w:w="1101" w:type="dxa"/>
          </w:tcPr>
          <w:p w:rsidR="00A4309F" w:rsidRPr="000F37D2" w:rsidRDefault="00A4309F">
            <w:pPr>
              <w:rPr>
                <w:sz w:val="26"/>
                <w:szCs w:val="26"/>
              </w:rPr>
            </w:pPr>
            <w:r w:rsidRPr="000F37D2">
              <w:rPr>
                <w:rFonts w:hint="eastAsia"/>
                <w:sz w:val="26"/>
                <w:szCs w:val="26"/>
              </w:rPr>
              <w:t>日期</w:t>
            </w:r>
          </w:p>
        </w:tc>
        <w:tc>
          <w:tcPr>
            <w:tcW w:w="2835" w:type="dxa"/>
          </w:tcPr>
          <w:p w:rsidR="00A4309F" w:rsidRPr="000F37D2" w:rsidRDefault="00A4309F">
            <w:pPr>
              <w:rPr>
                <w:sz w:val="26"/>
                <w:szCs w:val="26"/>
              </w:rPr>
            </w:pPr>
            <w:r w:rsidRPr="000F37D2">
              <w:rPr>
                <w:rFonts w:hint="eastAsia"/>
                <w:sz w:val="26"/>
                <w:szCs w:val="26"/>
              </w:rPr>
              <w:t>上午</w:t>
            </w:r>
          </w:p>
        </w:tc>
        <w:tc>
          <w:tcPr>
            <w:tcW w:w="2693" w:type="dxa"/>
          </w:tcPr>
          <w:p w:rsidR="00A4309F" w:rsidRPr="000F37D2" w:rsidRDefault="00A4309F">
            <w:pPr>
              <w:rPr>
                <w:sz w:val="26"/>
                <w:szCs w:val="26"/>
              </w:rPr>
            </w:pPr>
            <w:r w:rsidRPr="000F37D2">
              <w:rPr>
                <w:rFonts w:hint="eastAsia"/>
                <w:sz w:val="26"/>
                <w:szCs w:val="26"/>
              </w:rPr>
              <w:t>下午</w:t>
            </w:r>
          </w:p>
        </w:tc>
        <w:tc>
          <w:tcPr>
            <w:tcW w:w="1843" w:type="dxa"/>
          </w:tcPr>
          <w:p w:rsidR="00A4309F" w:rsidRPr="000F37D2" w:rsidRDefault="00532830">
            <w:pPr>
              <w:rPr>
                <w:sz w:val="26"/>
                <w:szCs w:val="26"/>
              </w:rPr>
            </w:pPr>
            <w:r w:rsidRPr="000F37D2">
              <w:rPr>
                <w:rFonts w:hint="eastAsia"/>
                <w:sz w:val="26"/>
                <w:szCs w:val="26"/>
              </w:rPr>
              <w:t>地點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7/11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浙江出發</w:t>
            </w:r>
          </w:p>
        </w:tc>
        <w:tc>
          <w:tcPr>
            <w:tcW w:w="2693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認識校園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7/12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歡迎始業式</w:t>
            </w:r>
          </w:p>
        </w:tc>
        <w:tc>
          <w:tcPr>
            <w:tcW w:w="2693" w:type="dxa"/>
          </w:tcPr>
          <w:p w:rsidR="00432439" w:rsidRDefault="00432439"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台灣產業發展趨勢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7/13</w:t>
            </w:r>
          </w:p>
        </w:tc>
        <w:tc>
          <w:tcPr>
            <w:tcW w:w="2835" w:type="dxa"/>
          </w:tcPr>
          <w:p w:rsidR="00432439" w:rsidRDefault="00432439" w:rsidP="00A5029E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台灣產業發展的過去、現在與未來</w:t>
            </w:r>
          </w:p>
        </w:tc>
        <w:tc>
          <w:tcPr>
            <w:tcW w:w="2693" w:type="dxa"/>
          </w:tcPr>
          <w:p w:rsidR="00432439" w:rsidRDefault="00432439" w:rsidP="00A5029E">
            <w:r w:rsidRPr="00864485">
              <w:rPr>
                <w:rFonts w:ascii="標楷體" w:eastAsia="標楷體" w:hAnsi="標楷體" w:cs="新細明體" w:hint="eastAsia"/>
                <w:kern w:val="0"/>
              </w:rPr>
              <w:t>產業分析與個案探討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7/14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連鎖餐飲管理企業</w:t>
            </w:r>
          </w:p>
        </w:tc>
        <w:tc>
          <w:tcPr>
            <w:tcW w:w="2693" w:type="dxa"/>
          </w:tcPr>
          <w:p w:rsidR="00432439" w:rsidRDefault="00432439" w:rsidP="00A5029E">
            <w:r w:rsidRPr="00DF7675">
              <w:rPr>
                <w:rFonts w:ascii="標楷體" w:eastAsia="標楷體" w:hAnsi="標楷體" w:hint="eastAsia"/>
              </w:rPr>
              <w:t>參訪</w:t>
            </w:r>
            <w:r w:rsidRPr="00DF767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郭元益、白木屋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7/15</w:t>
            </w:r>
          </w:p>
        </w:tc>
        <w:tc>
          <w:tcPr>
            <w:tcW w:w="2835" w:type="dxa"/>
          </w:tcPr>
          <w:p w:rsidR="00432439" w:rsidRDefault="00432439">
            <w:r w:rsidRPr="00787CAD">
              <w:rPr>
                <w:rFonts w:ascii="標楷體" w:eastAsia="標楷體" w:hAnsi="標楷體" w:cs="新細明體" w:hint="eastAsia"/>
                <w:color w:val="000000"/>
                <w:kern w:val="0"/>
              </w:rPr>
              <w:t>休閒產業經營管理</w:t>
            </w:r>
          </w:p>
        </w:tc>
        <w:tc>
          <w:tcPr>
            <w:tcW w:w="2693" w:type="dxa"/>
          </w:tcPr>
          <w:p w:rsidR="00432439" w:rsidRDefault="00432439">
            <w:r>
              <w:rPr>
                <w:rFonts w:ascii="標楷體" w:eastAsia="標楷體" w:hAnsi="標楷體" w:cs="新細明體" w:hint="eastAsia"/>
                <w:kern w:val="0"/>
              </w:rPr>
              <w:t>財務規劃</w:t>
            </w:r>
            <w:r w:rsidRPr="00864485">
              <w:rPr>
                <w:rFonts w:ascii="標楷體" w:eastAsia="標楷體" w:hAnsi="標楷體" w:cs="新細明體" w:hint="eastAsia"/>
                <w:kern w:val="0"/>
              </w:rPr>
              <w:t>管理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7/16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北台灣二日行</w:t>
            </w:r>
          </w:p>
        </w:tc>
        <w:tc>
          <w:tcPr>
            <w:tcW w:w="2693" w:type="dxa"/>
          </w:tcPr>
          <w:p w:rsidR="00432439" w:rsidRDefault="00432439"/>
        </w:tc>
        <w:tc>
          <w:tcPr>
            <w:tcW w:w="1843" w:type="dxa"/>
          </w:tcPr>
          <w:p w:rsidR="00432439" w:rsidRDefault="00432439"/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7/17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北台灣二日行</w:t>
            </w:r>
          </w:p>
        </w:tc>
        <w:tc>
          <w:tcPr>
            <w:tcW w:w="2693" w:type="dxa"/>
          </w:tcPr>
          <w:p w:rsidR="00432439" w:rsidRDefault="00432439"/>
        </w:tc>
        <w:tc>
          <w:tcPr>
            <w:tcW w:w="1843" w:type="dxa"/>
          </w:tcPr>
          <w:p w:rsidR="00432439" w:rsidRDefault="00432439"/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7/18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電子商務</w:t>
            </w:r>
          </w:p>
        </w:tc>
        <w:tc>
          <w:tcPr>
            <w:tcW w:w="2693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電子商務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建置實務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7/19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創造思考</w:t>
            </w:r>
          </w:p>
        </w:tc>
        <w:tc>
          <w:tcPr>
            <w:tcW w:w="2693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創意管理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7/20</w:t>
            </w:r>
          </w:p>
        </w:tc>
        <w:tc>
          <w:tcPr>
            <w:tcW w:w="2835" w:type="dxa"/>
          </w:tcPr>
          <w:p w:rsidR="00432439" w:rsidRDefault="00432439">
            <w:r w:rsidRPr="00864485">
              <w:rPr>
                <w:rFonts w:ascii="標楷體" w:eastAsia="標楷體" w:hAnsi="標楷體" w:cs="新細明體" w:hint="eastAsia"/>
                <w:kern w:val="0"/>
              </w:rPr>
              <w:t>台灣企業營運商業模式探討</w:t>
            </w:r>
          </w:p>
        </w:tc>
        <w:tc>
          <w:tcPr>
            <w:tcW w:w="2693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中小企業個案實例分析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7/21</w:t>
            </w:r>
          </w:p>
        </w:tc>
        <w:tc>
          <w:tcPr>
            <w:tcW w:w="2835" w:type="dxa"/>
          </w:tcPr>
          <w:p w:rsidR="00432439" w:rsidRDefault="00432439">
            <w:proofErr w:type="gramStart"/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台灣文創產業</w:t>
            </w:r>
            <w:proofErr w:type="gramEnd"/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介紹</w:t>
            </w:r>
          </w:p>
        </w:tc>
        <w:tc>
          <w:tcPr>
            <w:tcW w:w="2693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廣告與商品攝影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7/22</w:t>
            </w:r>
          </w:p>
        </w:tc>
        <w:tc>
          <w:tcPr>
            <w:tcW w:w="2835" w:type="dxa"/>
          </w:tcPr>
          <w:p w:rsidR="00432439" w:rsidRDefault="00432439" w:rsidP="00A5029E"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南台灣</w:t>
            </w:r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三日行</w:t>
            </w:r>
          </w:p>
        </w:tc>
        <w:tc>
          <w:tcPr>
            <w:tcW w:w="2693" w:type="dxa"/>
          </w:tcPr>
          <w:p w:rsidR="00432439" w:rsidRDefault="00432439"/>
        </w:tc>
        <w:tc>
          <w:tcPr>
            <w:tcW w:w="1843" w:type="dxa"/>
          </w:tcPr>
          <w:p w:rsidR="00432439" w:rsidRDefault="00432439"/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7/23</w:t>
            </w:r>
          </w:p>
        </w:tc>
        <w:tc>
          <w:tcPr>
            <w:tcW w:w="2835" w:type="dxa"/>
          </w:tcPr>
          <w:p w:rsidR="00432439" w:rsidRDefault="00432439"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南台灣</w:t>
            </w:r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三日行</w:t>
            </w:r>
          </w:p>
        </w:tc>
        <w:tc>
          <w:tcPr>
            <w:tcW w:w="2693" w:type="dxa"/>
          </w:tcPr>
          <w:p w:rsidR="00432439" w:rsidRDefault="00432439"/>
        </w:tc>
        <w:tc>
          <w:tcPr>
            <w:tcW w:w="1843" w:type="dxa"/>
          </w:tcPr>
          <w:p w:rsidR="00432439" w:rsidRDefault="00432439"/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7/24</w:t>
            </w:r>
          </w:p>
        </w:tc>
        <w:tc>
          <w:tcPr>
            <w:tcW w:w="2835" w:type="dxa"/>
          </w:tcPr>
          <w:p w:rsidR="00432439" w:rsidRDefault="00432439"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南台灣</w:t>
            </w:r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三日行</w:t>
            </w:r>
          </w:p>
        </w:tc>
        <w:tc>
          <w:tcPr>
            <w:tcW w:w="2693" w:type="dxa"/>
          </w:tcPr>
          <w:p w:rsidR="00432439" w:rsidRDefault="00432439"/>
        </w:tc>
        <w:tc>
          <w:tcPr>
            <w:tcW w:w="1843" w:type="dxa"/>
          </w:tcPr>
          <w:p w:rsidR="00432439" w:rsidRDefault="00432439"/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7/25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品牌與溝通</w:t>
            </w:r>
          </w:p>
        </w:tc>
        <w:tc>
          <w:tcPr>
            <w:tcW w:w="2693" w:type="dxa"/>
          </w:tcPr>
          <w:p w:rsidR="00432439" w:rsidRDefault="00432439" w:rsidP="00787CAD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經營決策軟體之應用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7/26</w:t>
            </w:r>
          </w:p>
        </w:tc>
        <w:tc>
          <w:tcPr>
            <w:tcW w:w="2835" w:type="dxa"/>
          </w:tcPr>
          <w:p w:rsidR="00432439" w:rsidRDefault="00432439">
            <w:r w:rsidRPr="00864485">
              <w:rPr>
                <w:rFonts w:ascii="標楷體" w:eastAsia="標楷體" w:hAnsi="標楷體" w:cs="新細明體" w:hint="eastAsia"/>
                <w:kern w:val="0"/>
              </w:rPr>
              <w:t>約束理論的應用-衝突管理</w:t>
            </w:r>
          </w:p>
        </w:tc>
        <w:tc>
          <w:tcPr>
            <w:tcW w:w="2693" w:type="dxa"/>
          </w:tcPr>
          <w:p w:rsidR="00432439" w:rsidRDefault="00432439">
            <w:r w:rsidRPr="00864485">
              <w:rPr>
                <w:rFonts w:ascii="標楷體" w:eastAsia="標楷體" w:hAnsi="標楷體" w:hint="eastAsia"/>
              </w:rPr>
              <w:t>參訪</w:t>
            </w:r>
            <w:proofErr w:type="gramStart"/>
            <w:r w:rsidRPr="00864485">
              <w:rPr>
                <w:rFonts w:ascii="標楷體" w:eastAsia="標楷體" w:hAnsi="標楷體" w:hint="eastAsia"/>
                <w:shd w:val="clear" w:color="auto" w:fill="FFFFFF"/>
              </w:rPr>
              <w:t>新竹安駕中心</w:t>
            </w:r>
            <w:proofErr w:type="gramEnd"/>
            <w:r>
              <w:rPr>
                <w:rFonts w:ascii="標楷體" w:eastAsia="標楷體" w:hAnsi="標楷體" w:hint="eastAsia"/>
                <w:shd w:val="clear" w:color="auto" w:fill="FFFFFF"/>
              </w:rPr>
              <w:t>、張學良故居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7/27</w:t>
            </w:r>
          </w:p>
        </w:tc>
        <w:tc>
          <w:tcPr>
            <w:tcW w:w="2835" w:type="dxa"/>
          </w:tcPr>
          <w:p w:rsidR="00432439" w:rsidRDefault="00432439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結業測驗</w:t>
            </w:r>
          </w:p>
        </w:tc>
        <w:tc>
          <w:tcPr>
            <w:tcW w:w="2693" w:type="dxa"/>
          </w:tcPr>
          <w:p w:rsidR="00432439" w:rsidRPr="00787CAD" w:rsidRDefault="00432439" w:rsidP="00787CAD">
            <w:pPr>
              <w:rPr>
                <w:rFonts w:ascii="標楷體" w:eastAsia="標楷體" w:hAnsi="標楷體"/>
              </w:rPr>
            </w:pPr>
            <w:r w:rsidRPr="00787CAD">
              <w:rPr>
                <w:rFonts w:ascii="標楷體" w:eastAsia="標楷體" w:hAnsi="標楷體" w:hint="eastAsia"/>
              </w:rPr>
              <w:t>明新休閒運動中心活動</w:t>
            </w:r>
          </w:p>
        </w:tc>
        <w:tc>
          <w:tcPr>
            <w:tcW w:w="1843" w:type="dxa"/>
          </w:tcPr>
          <w:p w:rsidR="00432439" w:rsidRDefault="00432439">
            <w:r>
              <w:rPr>
                <w:rFonts w:hint="eastAsia"/>
              </w:rPr>
              <w:t>明新科技大學</w:t>
            </w:r>
          </w:p>
        </w:tc>
      </w:tr>
      <w:tr w:rsidR="00432439" w:rsidTr="000F37D2">
        <w:trPr>
          <w:trHeight w:val="410"/>
        </w:trPr>
        <w:tc>
          <w:tcPr>
            <w:tcW w:w="1101" w:type="dxa"/>
            <w:vAlign w:val="center"/>
          </w:tcPr>
          <w:p w:rsidR="00432439" w:rsidRDefault="00432439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7/28</w:t>
            </w:r>
          </w:p>
        </w:tc>
        <w:tc>
          <w:tcPr>
            <w:tcW w:w="2835" w:type="dxa"/>
          </w:tcPr>
          <w:p w:rsidR="00432439" w:rsidRDefault="00432439" w:rsidP="009A481E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結業式</w:t>
            </w:r>
          </w:p>
        </w:tc>
        <w:tc>
          <w:tcPr>
            <w:tcW w:w="2693" w:type="dxa"/>
          </w:tcPr>
          <w:p w:rsidR="00432439" w:rsidRDefault="00432439" w:rsidP="009A481E">
            <w:r w:rsidRPr="00DF7675">
              <w:rPr>
                <w:rFonts w:ascii="標楷體" w:eastAsia="標楷體" w:hAnsi="標楷體" w:cs="新細明體" w:hint="eastAsia"/>
                <w:color w:val="000000"/>
                <w:kern w:val="0"/>
              </w:rPr>
              <w:t>賦歸</w:t>
            </w:r>
          </w:p>
        </w:tc>
        <w:tc>
          <w:tcPr>
            <w:tcW w:w="1843" w:type="dxa"/>
          </w:tcPr>
          <w:p w:rsidR="00432439" w:rsidRDefault="00432439" w:rsidP="009A481E"/>
        </w:tc>
      </w:tr>
    </w:tbl>
    <w:p w:rsidR="00351199" w:rsidRPr="00351199" w:rsidRDefault="00351199">
      <w:bookmarkStart w:id="0" w:name="_GoBack"/>
      <w:bookmarkEnd w:id="0"/>
    </w:p>
    <w:sectPr w:rsidR="00351199" w:rsidRPr="003511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99"/>
    <w:rsid w:val="000F37D2"/>
    <w:rsid w:val="00351199"/>
    <w:rsid w:val="00395BE9"/>
    <w:rsid w:val="00432439"/>
    <w:rsid w:val="00532830"/>
    <w:rsid w:val="00787CAD"/>
    <w:rsid w:val="00A4309F"/>
    <w:rsid w:val="00A5029E"/>
    <w:rsid w:val="00FD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must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</dc:creator>
  <cp:keywords/>
  <dc:description/>
  <cp:lastModifiedBy>must</cp:lastModifiedBy>
  <cp:revision>2</cp:revision>
  <dcterms:created xsi:type="dcterms:W3CDTF">2016-03-23T14:46:00Z</dcterms:created>
  <dcterms:modified xsi:type="dcterms:W3CDTF">2016-03-23T14:46:00Z</dcterms:modified>
</cp:coreProperties>
</file>